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3648" w14:textId="77777777" w:rsidR="0019218D" w:rsidRPr="00743F80" w:rsidRDefault="0019218D" w:rsidP="00CB0211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1"/>
          <w:szCs w:val="21"/>
          <w:lang w:val="en-US"/>
        </w:rPr>
      </w:pPr>
    </w:p>
    <w:p w14:paraId="2BD95F11" w14:textId="3D0697B8" w:rsidR="00F62095" w:rsidRPr="00743F80" w:rsidRDefault="00D70613" w:rsidP="00CB021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INFORMATION NOTE ON THE </w:t>
      </w:r>
      <w:r w:rsidR="00F62095" w:rsidRPr="00743F80">
        <w:rPr>
          <w:rFonts w:ascii="Arial" w:hAnsi="Arial" w:cs="Arial"/>
          <w:b/>
          <w:bCs/>
          <w:sz w:val="21"/>
          <w:szCs w:val="21"/>
          <w:lang w:val="en-US"/>
        </w:rPr>
        <w:t>SUMMARY OF THE DECISION OF THE PERSONAL DATA PROTECTION BOARD DATED 02/12/2021 AND NUMBERED 2021/1218</w:t>
      </w:r>
    </w:p>
    <w:p w14:paraId="249E781F" w14:textId="46FC92D1" w:rsidR="00085184" w:rsidRPr="00743F80" w:rsidRDefault="00743F80" w:rsidP="00CB0211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 w:rsidRPr="00743F80">
        <w:rPr>
          <w:rFonts w:ascii="Arial" w:hAnsi="Arial" w:cs="Arial"/>
          <w:sz w:val="21"/>
          <w:szCs w:val="21"/>
          <w:lang w:val="en-US"/>
        </w:rPr>
        <w:t xml:space="preserve">You may find below our notes on the </w:t>
      </w:r>
      <w:hyperlink r:id="rId7" w:history="1">
        <w:r w:rsidR="00085184" w:rsidRPr="00743F80">
          <w:rPr>
            <w:rStyle w:val="Hyperlink"/>
            <w:rFonts w:ascii="Arial" w:hAnsi="Arial" w:cs="Arial"/>
            <w:sz w:val="21"/>
            <w:szCs w:val="21"/>
            <w:lang w:val="en-US"/>
          </w:rPr>
          <w:t>Summary of the Decision of the Personal Data Protection Board dated 02/12/2021 and numbered 2021/1218 Regarding "</w:t>
        </w:r>
        <w:r w:rsidR="001D01E2" w:rsidRPr="00743F80">
          <w:rPr>
            <w:rStyle w:val="Hyperlink"/>
            <w:rFonts w:ascii="Arial" w:hAnsi="Arial" w:cs="Arial"/>
            <w:sz w:val="21"/>
            <w:szCs w:val="21"/>
            <w:lang w:val="en-US"/>
          </w:rPr>
          <w:t>The data subject employee not being informed by the data controller residing abroad, of th</w:t>
        </w:r>
        <w:r w:rsidR="001D01E2" w:rsidRPr="00743F80">
          <w:rPr>
            <w:rStyle w:val="Hyperlink"/>
            <w:rFonts w:ascii="Arial" w:hAnsi="Arial" w:cs="Arial"/>
            <w:sz w:val="21"/>
            <w:szCs w:val="21"/>
            <w:lang w:val="en-US"/>
          </w:rPr>
          <w:t>e</w:t>
        </w:r>
        <w:r w:rsidR="001D01E2" w:rsidRPr="00743F80">
          <w:rPr>
            <w:rStyle w:val="Hyperlink"/>
            <w:rFonts w:ascii="Arial" w:hAnsi="Arial" w:cs="Arial"/>
            <w:sz w:val="21"/>
            <w:szCs w:val="21"/>
            <w:lang w:val="en-US"/>
          </w:rPr>
          <w:t xml:space="preserve"> personal data processing activities carried out about him/her</w:t>
        </w:r>
        <w:r w:rsidR="00085184" w:rsidRPr="00743F80">
          <w:rPr>
            <w:rStyle w:val="Hyperlink"/>
            <w:rFonts w:ascii="Arial" w:hAnsi="Arial" w:cs="Arial"/>
            <w:sz w:val="21"/>
            <w:szCs w:val="21"/>
            <w:lang w:val="en-US"/>
          </w:rPr>
          <w:t>, the personal data of the data subject being processed unlawfully by the data controller in the period after April 2021".</w:t>
        </w:r>
      </w:hyperlink>
    </w:p>
    <w:p w14:paraId="2ED7AA0F" w14:textId="77777777" w:rsidR="00905DD5" w:rsidRDefault="00C75897" w:rsidP="00CB0211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en-US"/>
        </w:rPr>
      </w:pPr>
      <w:r w:rsidRPr="00743F80">
        <w:rPr>
          <w:rFonts w:ascii="Arial" w:hAnsi="Arial" w:cs="Arial"/>
          <w:b/>
          <w:bCs/>
          <w:sz w:val="21"/>
          <w:szCs w:val="21"/>
          <w:lang w:val="en-US"/>
        </w:rPr>
        <w:t xml:space="preserve">Board’s </w:t>
      </w:r>
      <w:r w:rsidR="00992FAD" w:rsidRPr="00743F80">
        <w:rPr>
          <w:rFonts w:ascii="Arial" w:hAnsi="Arial" w:cs="Arial"/>
          <w:b/>
          <w:bCs/>
          <w:sz w:val="21"/>
          <w:szCs w:val="21"/>
          <w:lang w:val="en-US"/>
        </w:rPr>
        <w:t>Findings</w:t>
      </w:r>
      <w:r w:rsidR="000208FF" w:rsidRPr="00743F80">
        <w:rPr>
          <w:rFonts w:ascii="Arial" w:hAnsi="Arial" w:cs="Arial"/>
          <w:b/>
          <w:bCs/>
          <w:sz w:val="21"/>
          <w:szCs w:val="21"/>
          <w:lang w:val="en-US"/>
        </w:rPr>
        <w:t>:</w:t>
      </w:r>
    </w:p>
    <w:p w14:paraId="2E3D77BD" w14:textId="35D8FBF2" w:rsidR="000208FF" w:rsidRPr="00905DD5" w:rsidRDefault="0098359A" w:rsidP="00CB0211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 w:rsidRPr="008560D1">
        <w:rPr>
          <w:rFonts w:ascii="Arial" w:hAnsi="Arial" w:cs="Arial"/>
          <w:sz w:val="21"/>
          <w:szCs w:val="21"/>
          <w:lang w:val="en-GB"/>
        </w:rPr>
        <w:t>T</w:t>
      </w:r>
      <w:r w:rsidR="003A43C2">
        <w:rPr>
          <w:rFonts w:ascii="Arial" w:hAnsi="Arial" w:cs="Arial"/>
          <w:sz w:val="21"/>
          <w:szCs w:val="21"/>
          <w:lang w:val="en-GB"/>
        </w:rPr>
        <w:t>he</w:t>
      </w:r>
      <w:r w:rsidRPr="008560D1">
        <w:rPr>
          <w:rFonts w:ascii="Arial" w:hAnsi="Arial" w:cs="Arial"/>
          <w:sz w:val="21"/>
          <w:szCs w:val="21"/>
          <w:lang w:val="en-GB"/>
        </w:rPr>
        <w:t xml:space="preserve"> </w:t>
      </w:r>
      <w:r w:rsidR="003A43C2">
        <w:rPr>
          <w:rFonts w:ascii="Arial" w:hAnsi="Arial" w:cs="Arial"/>
          <w:sz w:val="21"/>
          <w:szCs w:val="21"/>
          <w:lang w:val="en-GB"/>
        </w:rPr>
        <w:t xml:space="preserve">following points under the abovementioned decision of the </w:t>
      </w:r>
      <w:r w:rsidR="00A27C50">
        <w:rPr>
          <w:rFonts w:ascii="Arial" w:hAnsi="Arial" w:cs="Arial"/>
          <w:sz w:val="21"/>
          <w:szCs w:val="21"/>
          <w:lang w:val="en-GB"/>
        </w:rPr>
        <w:t>Personal Data Protection Board (“</w:t>
      </w:r>
      <w:r w:rsidR="00A27C50" w:rsidRPr="00A27C50">
        <w:rPr>
          <w:rFonts w:ascii="Arial" w:hAnsi="Arial" w:cs="Arial"/>
          <w:b/>
          <w:bCs/>
          <w:sz w:val="21"/>
          <w:szCs w:val="21"/>
          <w:lang w:val="en-GB"/>
        </w:rPr>
        <w:t>Board</w:t>
      </w:r>
      <w:r w:rsidR="00A27C50">
        <w:rPr>
          <w:rFonts w:ascii="Arial" w:hAnsi="Arial" w:cs="Arial"/>
          <w:sz w:val="21"/>
          <w:szCs w:val="21"/>
          <w:lang w:val="en-GB"/>
        </w:rPr>
        <w:t>”)</w:t>
      </w:r>
      <w:r w:rsidRPr="008560D1">
        <w:rPr>
          <w:rFonts w:ascii="Arial" w:hAnsi="Arial" w:cs="Arial"/>
          <w:sz w:val="21"/>
          <w:szCs w:val="21"/>
          <w:lang w:val="en-GB"/>
        </w:rPr>
        <w:t xml:space="preserve"> are </w:t>
      </w:r>
      <w:r w:rsidR="003A43C2">
        <w:rPr>
          <w:rFonts w:ascii="Arial" w:hAnsi="Arial" w:cs="Arial"/>
          <w:sz w:val="21"/>
          <w:szCs w:val="21"/>
          <w:lang w:val="en-GB"/>
        </w:rPr>
        <w:t xml:space="preserve">of importance: </w:t>
      </w:r>
    </w:p>
    <w:p w14:paraId="0C4A7BBB" w14:textId="2436D519" w:rsidR="000208FF" w:rsidRPr="00743F80" w:rsidRDefault="003A43C2" w:rsidP="00CB021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If 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the data controller </w:t>
      </w:r>
      <w:r w:rsidR="00C56978">
        <w:rPr>
          <w:rFonts w:ascii="Arial" w:hAnsi="Arial" w:cs="Arial"/>
          <w:sz w:val="21"/>
          <w:szCs w:val="21"/>
          <w:lang w:val="en-US"/>
        </w:rPr>
        <w:t>and</w:t>
      </w:r>
      <w:r w:rsidR="00C56978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the data subject </w:t>
      </w:r>
      <w:r w:rsidR="00C56978">
        <w:rPr>
          <w:rFonts w:ascii="Arial" w:hAnsi="Arial" w:cs="Arial"/>
          <w:sz w:val="21"/>
          <w:szCs w:val="21"/>
          <w:lang w:val="en-US"/>
        </w:rPr>
        <w:t>are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 resident</w:t>
      </w:r>
      <w:r w:rsidR="00C56978">
        <w:rPr>
          <w:rFonts w:ascii="Arial" w:hAnsi="Arial" w:cs="Arial"/>
          <w:sz w:val="21"/>
          <w:szCs w:val="21"/>
          <w:lang w:val="en-US"/>
        </w:rPr>
        <w:t>s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 abroad, it is sufficient to inform the data subject in accordance with the </w:t>
      </w:r>
      <w:r w:rsidR="0041503E">
        <w:rPr>
          <w:rFonts w:ascii="Arial" w:hAnsi="Arial" w:cs="Arial"/>
          <w:sz w:val="21"/>
          <w:szCs w:val="21"/>
          <w:lang w:val="en-US"/>
        </w:rPr>
        <w:t>General Data Protection Regulation (“</w:t>
      </w:r>
      <w:r w:rsidR="000C00C9" w:rsidRPr="004F34EA">
        <w:rPr>
          <w:rFonts w:ascii="Arial" w:hAnsi="Arial" w:cs="Arial"/>
          <w:b/>
          <w:bCs/>
          <w:sz w:val="21"/>
          <w:szCs w:val="21"/>
          <w:lang w:val="en-US"/>
        </w:rPr>
        <w:t>GDPR</w:t>
      </w:r>
      <w:r w:rsidR="0041503E">
        <w:rPr>
          <w:rFonts w:ascii="Arial" w:hAnsi="Arial" w:cs="Arial"/>
          <w:sz w:val="21"/>
          <w:szCs w:val="21"/>
          <w:lang w:val="en-US"/>
        </w:rPr>
        <w:t>”)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the primary personal data protection regulation of the European Union. However, </w:t>
      </w:r>
      <w:r w:rsidR="0041503E">
        <w:rPr>
          <w:rFonts w:ascii="Arial" w:hAnsi="Arial" w:cs="Arial"/>
          <w:sz w:val="21"/>
          <w:szCs w:val="21"/>
          <w:lang w:val="en-US"/>
        </w:rPr>
        <w:t>considering that</w:t>
      </w:r>
      <w:r w:rsidR="0041503E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the data subject </w:t>
      </w:r>
      <w:r>
        <w:rPr>
          <w:rFonts w:ascii="Arial" w:hAnsi="Arial" w:cs="Arial"/>
          <w:sz w:val="21"/>
          <w:szCs w:val="21"/>
          <w:lang w:val="en-US"/>
        </w:rPr>
        <w:t xml:space="preserve">has 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left his/her job in London and started to work in the liaison office of the data controller in Istanbul, </w:t>
      </w:r>
      <w:r w:rsidR="009C2861">
        <w:rPr>
          <w:rFonts w:ascii="Arial" w:hAnsi="Arial" w:cs="Arial"/>
          <w:sz w:val="21"/>
          <w:szCs w:val="21"/>
          <w:lang w:val="en-US"/>
        </w:rPr>
        <w:t xml:space="preserve">he/she </w:t>
      </w:r>
      <w:r>
        <w:rPr>
          <w:rFonts w:ascii="Arial" w:hAnsi="Arial" w:cs="Arial"/>
          <w:sz w:val="21"/>
          <w:szCs w:val="21"/>
          <w:lang w:val="en-US"/>
        </w:rPr>
        <w:t xml:space="preserve">must </w:t>
      </w:r>
      <w:r w:rsidR="009C2861">
        <w:rPr>
          <w:rFonts w:ascii="Arial" w:hAnsi="Arial" w:cs="Arial"/>
          <w:sz w:val="21"/>
          <w:szCs w:val="21"/>
          <w:lang w:val="en-US"/>
        </w:rPr>
        <w:t>be informed</w:t>
      </w:r>
      <w:r w:rsidR="000C00C9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by the data controller </w:t>
      </w:r>
      <w:r w:rsidR="0041503E">
        <w:rPr>
          <w:rFonts w:ascii="Arial" w:hAnsi="Arial" w:cs="Arial"/>
          <w:sz w:val="21"/>
          <w:szCs w:val="21"/>
          <w:lang w:val="en-US"/>
        </w:rPr>
        <w:t xml:space="preserve">with regards to the data processing activities </w:t>
      </w:r>
      <w:r w:rsidR="000C00C9" w:rsidRPr="00743F80">
        <w:rPr>
          <w:rFonts w:ascii="Arial" w:hAnsi="Arial" w:cs="Arial"/>
          <w:sz w:val="21"/>
          <w:szCs w:val="21"/>
          <w:lang w:val="en-US"/>
        </w:rPr>
        <w:t>in accordance with the Personal Data Protection Law numbered 6698 (“</w:t>
      </w:r>
      <w:r w:rsidR="000C00C9" w:rsidRPr="00743F80">
        <w:rPr>
          <w:rFonts w:ascii="Arial" w:hAnsi="Arial" w:cs="Arial"/>
          <w:b/>
          <w:bCs/>
          <w:sz w:val="21"/>
          <w:szCs w:val="21"/>
          <w:lang w:val="en-US"/>
        </w:rPr>
        <w:t>PDPL</w:t>
      </w:r>
      <w:r w:rsidR="000C00C9" w:rsidRPr="00743F80">
        <w:rPr>
          <w:rFonts w:ascii="Arial" w:hAnsi="Arial" w:cs="Arial"/>
          <w:sz w:val="21"/>
          <w:szCs w:val="21"/>
          <w:lang w:val="en-US"/>
        </w:rPr>
        <w:t>”), in addition to the information provided within the scope of GDPR obligations.</w:t>
      </w:r>
    </w:p>
    <w:p w14:paraId="77DFDEDB" w14:textId="77777777" w:rsidR="00784E76" w:rsidRDefault="00F76B34" w:rsidP="00CB021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As</w:t>
      </w:r>
      <w:r w:rsidR="00EF182A" w:rsidRPr="00743F80">
        <w:rPr>
          <w:rFonts w:ascii="Arial" w:hAnsi="Arial" w:cs="Arial"/>
          <w:sz w:val="21"/>
          <w:szCs w:val="21"/>
          <w:lang w:val="en-US"/>
        </w:rPr>
        <w:t xml:space="preserve"> the data controller</w:t>
      </w:r>
      <w:r w:rsidR="00EF182A">
        <w:rPr>
          <w:rFonts w:ascii="Arial" w:hAnsi="Arial" w:cs="Arial"/>
          <w:sz w:val="21"/>
          <w:szCs w:val="21"/>
          <w:lang w:val="en-US"/>
        </w:rPr>
        <w:t xml:space="preserve"> </w:t>
      </w:r>
      <w:r w:rsidR="00EF182A" w:rsidRPr="00743F80">
        <w:rPr>
          <w:rFonts w:ascii="Arial" w:hAnsi="Arial" w:cs="Arial"/>
          <w:sz w:val="21"/>
          <w:szCs w:val="21"/>
          <w:lang w:val="en-US"/>
        </w:rPr>
        <w:t>has</w:t>
      </w:r>
      <w:r>
        <w:rPr>
          <w:rFonts w:ascii="Arial" w:hAnsi="Arial" w:cs="Arial"/>
          <w:sz w:val="21"/>
          <w:szCs w:val="21"/>
          <w:lang w:val="en-US"/>
        </w:rPr>
        <w:t xml:space="preserve"> legitimate interest in disclosing that it has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 a liaison office in Turkey and</w:t>
      </w:r>
      <w:r w:rsidRPr="00F76B34">
        <w:rPr>
          <w:rFonts w:ascii="Arial" w:hAnsi="Arial" w:cs="Arial"/>
          <w:sz w:val="21"/>
          <w:szCs w:val="21"/>
          <w:lang w:val="en-US"/>
        </w:rPr>
        <w:t xml:space="preserve"> 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competent and qualified </w:t>
      </w:r>
      <w:r>
        <w:rPr>
          <w:rFonts w:ascii="Arial" w:hAnsi="Arial" w:cs="Arial"/>
          <w:sz w:val="21"/>
          <w:szCs w:val="21"/>
          <w:lang w:val="en-US"/>
        </w:rPr>
        <w:t xml:space="preserve">employees are being employed 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in this office, it cannot be </w:t>
      </w:r>
      <w:r w:rsidR="00784E76">
        <w:rPr>
          <w:rFonts w:ascii="Arial" w:hAnsi="Arial" w:cs="Arial"/>
          <w:sz w:val="21"/>
          <w:szCs w:val="21"/>
          <w:lang w:val="en-US"/>
        </w:rPr>
        <w:t xml:space="preserve">concluded </w:t>
      </w:r>
      <w:r w:rsidR="00EF182A" w:rsidRPr="00F76B34">
        <w:rPr>
          <w:rFonts w:ascii="Arial" w:hAnsi="Arial" w:cs="Arial"/>
          <w:sz w:val="21"/>
          <w:szCs w:val="21"/>
          <w:lang w:val="en-US"/>
        </w:rPr>
        <w:t>that</w:t>
      </w:r>
      <w:r w:rsidR="00784E76">
        <w:rPr>
          <w:rFonts w:ascii="Arial" w:hAnsi="Arial" w:cs="Arial"/>
          <w:sz w:val="21"/>
          <w:szCs w:val="21"/>
          <w:lang w:val="en-US"/>
        </w:rPr>
        <w:t xml:space="preserve"> disclosure of personal data of the data subject on the website of the data controller 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harms the fundamental rights and freedoms of the data subject. </w:t>
      </w:r>
      <w:r w:rsidR="00EF182A" w:rsidRPr="00F76B34">
        <w:rPr>
          <w:rFonts w:ascii="Arial" w:hAnsi="Arial" w:cs="Arial"/>
          <w:b/>
          <w:bCs/>
          <w:sz w:val="21"/>
          <w:szCs w:val="21"/>
          <w:lang w:val="en-US"/>
        </w:rPr>
        <w:t xml:space="preserve">However, after the employment relationship between the employee and the employer has </w:t>
      </w:r>
      <w:r w:rsidR="00784E76">
        <w:rPr>
          <w:rFonts w:ascii="Arial" w:hAnsi="Arial" w:cs="Arial"/>
          <w:b/>
          <w:bCs/>
          <w:sz w:val="21"/>
          <w:szCs w:val="21"/>
          <w:lang w:val="en-US"/>
        </w:rPr>
        <w:t xml:space="preserve">been </w:t>
      </w:r>
      <w:r w:rsidR="00EF182A" w:rsidRPr="00F76B34">
        <w:rPr>
          <w:rFonts w:ascii="Arial" w:hAnsi="Arial" w:cs="Arial"/>
          <w:b/>
          <w:bCs/>
          <w:sz w:val="21"/>
          <w:szCs w:val="21"/>
          <w:lang w:val="en-US"/>
        </w:rPr>
        <w:t xml:space="preserve">terminated, the personal data of the employee, cannot still be kept on the website of the </w:t>
      </w:r>
      <w:proofErr w:type="gramStart"/>
      <w:r w:rsidR="00EF182A" w:rsidRPr="00F76B34">
        <w:rPr>
          <w:rFonts w:ascii="Arial" w:hAnsi="Arial" w:cs="Arial"/>
          <w:b/>
          <w:bCs/>
          <w:sz w:val="21"/>
          <w:szCs w:val="21"/>
          <w:lang w:val="en-US"/>
        </w:rPr>
        <w:t>employer</w:t>
      </w:r>
      <w:r w:rsidR="00784E76">
        <w:rPr>
          <w:rFonts w:ascii="Arial" w:hAnsi="Arial" w:cs="Arial"/>
          <w:b/>
          <w:bCs/>
          <w:sz w:val="21"/>
          <w:szCs w:val="21"/>
          <w:lang w:val="en-US"/>
        </w:rPr>
        <w:t>;</w:t>
      </w:r>
      <w:proofErr w:type="gramEnd"/>
      <w:r w:rsidR="00784E76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784E76">
        <w:rPr>
          <w:rFonts w:ascii="Arial" w:hAnsi="Arial" w:cs="Arial"/>
          <w:sz w:val="21"/>
          <w:szCs w:val="21"/>
          <w:lang w:val="en-US"/>
        </w:rPr>
        <w:t xml:space="preserve">as 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this situation may harm the freedom of work and </w:t>
      </w:r>
      <w:r w:rsidR="00784E76">
        <w:rPr>
          <w:rFonts w:ascii="Arial" w:hAnsi="Arial" w:cs="Arial"/>
          <w:sz w:val="21"/>
          <w:szCs w:val="21"/>
          <w:lang w:val="en-US"/>
        </w:rPr>
        <w:t xml:space="preserve">freedom of 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contract of the </w:t>
      </w:r>
      <w:r w:rsidR="00784E76">
        <w:rPr>
          <w:rFonts w:ascii="Arial" w:hAnsi="Arial" w:cs="Arial"/>
          <w:sz w:val="21"/>
          <w:szCs w:val="21"/>
          <w:lang w:val="en-US"/>
        </w:rPr>
        <w:t>relevant employee and his/her</w:t>
      </w:r>
      <w:r w:rsidR="00EF182A" w:rsidRPr="00F76B34">
        <w:rPr>
          <w:rFonts w:ascii="Arial" w:hAnsi="Arial" w:cs="Arial"/>
          <w:sz w:val="21"/>
          <w:szCs w:val="21"/>
          <w:lang w:val="en-US"/>
        </w:rPr>
        <w:t xml:space="preserve"> job applications may be adversely affected by this situation.</w:t>
      </w:r>
    </w:p>
    <w:p w14:paraId="5712C635" w14:textId="4B7E6858" w:rsidR="00EF182A" w:rsidRDefault="00FF1334" w:rsidP="00CB021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 w:rsidRPr="00784E76">
        <w:rPr>
          <w:rFonts w:ascii="Arial" w:hAnsi="Arial" w:cs="Arial"/>
          <w:sz w:val="21"/>
          <w:szCs w:val="21"/>
          <w:lang w:val="en-US"/>
        </w:rPr>
        <w:t>It should be accepted that the data subject's request for information from the data controller</w:t>
      </w:r>
      <w:r w:rsidR="00784E76">
        <w:rPr>
          <w:rFonts w:ascii="Arial" w:hAnsi="Arial" w:cs="Arial"/>
          <w:sz w:val="21"/>
          <w:szCs w:val="21"/>
          <w:lang w:val="en-US"/>
        </w:rPr>
        <w:t xml:space="preserve"> as to whether </w:t>
      </w:r>
      <w:r w:rsidRPr="00784E76">
        <w:rPr>
          <w:rFonts w:ascii="Arial" w:hAnsi="Arial" w:cs="Arial"/>
          <w:sz w:val="21"/>
          <w:szCs w:val="21"/>
          <w:lang w:val="en-US"/>
        </w:rPr>
        <w:t xml:space="preserve">his/her data being processed unlawfully means that the data subject has withdrawn his/her explicit consent for the </w:t>
      </w:r>
      <w:r w:rsidR="00784E76">
        <w:rPr>
          <w:rFonts w:ascii="Arial" w:hAnsi="Arial" w:cs="Arial"/>
          <w:sz w:val="21"/>
          <w:szCs w:val="21"/>
          <w:lang w:val="en-US"/>
        </w:rPr>
        <w:t xml:space="preserve">disclosure of his/her </w:t>
      </w:r>
      <w:r w:rsidRPr="00784E76">
        <w:rPr>
          <w:rFonts w:ascii="Arial" w:hAnsi="Arial" w:cs="Arial"/>
          <w:sz w:val="21"/>
          <w:szCs w:val="21"/>
          <w:lang w:val="en-US"/>
        </w:rPr>
        <w:t>name</w:t>
      </w:r>
      <w:r w:rsidR="00784E76">
        <w:rPr>
          <w:rFonts w:ascii="Arial" w:hAnsi="Arial" w:cs="Arial"/>
          <w:sz w:val="21"/>
          <w:szCs w:val="21"/>
          <w:lang w:val="en-US"/>
        </w:rPr>
        <w:t xml:space="preserve"> and </w:t>
      </w:r>
      <w:r w:rsidRPr="00784E76">
        <w:rPr>
          <w:rFonts w:ascii="Arial" w:hAnsi="Arial" w:cs="Arial"/>
          <w:sz w:val="21"/>
          <w:szCs w:val="21"/>
          <w:lang w:val="en-US"/>
        </w:rPr>
        <w:t xml:space="preserve">photograph </w:t>
      </w:r>
      <w:r w:rsidR="00784E76">
        <w:rPr>
          <w:rFonts w:ascii="Arial" w:hAnsi="Arial" w:cs="Arial"/>
          <w:sz w:val="21"/>
          <w:szCs w:val="21"/>
          <w:lang w:val="en-US"/>
        </w:rPr>
        <w:t xml:space="preserve">on </w:t>
      </w:r>
      <w:proofErr w:type="gramStart"/>
      <w:r w:rsidR="00784E76">
        <w:rPr>
          <w:rFonts w:ascii="Arial" w:hAnsi="Arial" w:cs="Arial"/>
          <w:sz w:val="21"/>
          <w:szCs w:val="21"/>
          <w:lang w:val="en-US"/>
        </w:rPr>
        <w:t xml:space="preserve">the </w:t>
      </w:r>
      <w:r w:rsidRPr="00784E76">
        <w:rPr>
          <w:rFonts w:ascii="Arial" w:hAnsi="Arial" w:cs="Arial"/>
          <w:sz w:val="21"/>
          <w:szCs w:val="21"/>
          <w:lang w:val="en-US"/>
        </w:rPr>
        <w:t xml:space="preserve"> website</w:t>
      </w:r>
      <w:proofErr w:type="gramEnd"/>
      <w:r w:rsidR="00784E76">
        <w:rPr>
          <w:rFonts w:ascii="Arial" w:hAnsi="Arial" w:cs="Arial"/>
          <w:sz w:val="21"/>
          <w:szCs w:val="21"/>
          <w:lang w:val="en-US"/>
        </w:rPr>
        <w:t xml:space="preserve"> of the employer</w:t>
      </w:r>
      <w:r w:rsidRPr="00784E76">
        <w:rPr>
          <w:rFonts w:ascii="Arial" w:hAnsi="Arial" w:cs="Arial"/>
          <w:sz w:val="21"/>
          <w:szCs w:val="21"/>
          <w:lang w:val="en-US"/>
        </w:rPr>
        <w:t>.</w:t>
      </w:r>
    </w:p>
    <w:p w14:paraId="02D22C47" w14:textId="77777777" w:rsidR="00784E76" w:rsidRPr="00784E76" w:rsidRDefault="00784E76" w:rsidP="00CB0211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</w:p>
    <w:p w14:paraId="4C306B28" w14:textId="2A56FF41" w:rsidR="00DF3F58" w:rsidRPr="00743F80" w:rsidRDefault="00784E76" w:rsidP="00CB0211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Conclusion</w:t>
      </w:r>
      <w:r w:rsidR="000208FF" w:rsidRPr="00743F80">
        <w:rPr>
          <w:rFonts w:ascii="Arial" w:hAnsi="Arial" w:cs="Arial"/>
          <w:b/>
          <w:bCs/>
          <w:sz w:val="21"/>
          <w:szCs w:val="21"/>
          <w:lang w:val="en-US"/>
        </w:rPr>
        <w:t>:</w:t>
      </w:r>
      <w:r w:rsidR="000208FF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With this decision, the Board has 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once again </w:t>
      </w:r>
      <w:proofErr w:type="gramStart"/>
      <w:r w:rsidR="00EF182A" w:rsidRPr="00EF182A">
        <w:rPr>
          <w:rFonts w:ascii="Arial" w:hAnsi="Arial" w:cs="Arial"/>
          <w:sz w:val="21"/>
          <w:szCs w:val="21"/>
          <w:lang w:val="en-US"/>
        </w:rPr>
        <w:t>drew</w:t>
      </w:r>
      <w:proofErr w:type="gramEnd"/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attention </w:t>
      </w:r>
      <w:r w:rsidR="00EF182A">
        <w:rPr>
          <w:rFonts w:ascii="Arial" w:hAnsi="Arial" w:cs="Arial"/>
          <w:sz w:val="21"/>
          <w:szCs w:val="21"/>
          <w:lang w:val="en-US"/>
        </w:rPr>
        <w:t>to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the fact that </w:t>
      </w:r>
      <w:r w:rsidR="00CB0211">
        <w:rPr>
          <w:rFonts w:ascii="Arial" w:hAnsi="Arial" w:cs="Arial"/>
          <w:sz w:val="21"/>
          <w:szCs w:val="21"/>
          <w:lang w:val="en-US"/>
        </w:rPr>
        <w:t xml:space="preserve">fulfilment of </w:t>
      </w:r>
      <w:r w:rsidR="00EF182A">
        <w:rPr>
          <w:rFonts w:ascii="Arial" w:hAnsi="Arial" w:cs="Arial"/>
          <w:sz w:val="21"/>
          <w:szCs w:val="21"/>
          <w:lang w:val="en-US"/>
        </w:rPr>
        <w:t>their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obligations under GDPR</w:t>
      </w:r>
      <w:r w:rsidR="00CB0211">
        <w:rPr>
          <w:rFonts w:ascii="Arial" w:hAnsi="Arial" w:cs="Arial"/>
          <w:sz w:val="21"/>
          <w:szCs w:val="21"/>
          <w:lang w:val="en-US"/>
        </w:rPr>
        <w:t xml:space="preserve"> by the data controllers,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will not be deemed </w:t>
      </w:r>
      <w:r w:rsidR="00CB0211">
        <w:rPr>
          <w:rFonts w:ascii="Arial" w:hAnsi="Arial" w:cs="Arial"/>
          <w:sz w:val="21"/>
          <w:szCs w:val="21"/>
          <w:lang w:val="en-US"/>
        </w:rPr>
        <w:t>as they have also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fulfilled </w:t>
      </w:r>
      <w:r w:rsidR="00EF182A">
        <w:rPr>
          <w:rFonts w:ascii="Arial" w:hAnsi="Arial" w:cs="Arial"/>
          <w:sz w:val="21"/>
          <w:szCs w:val="21"/>
          <w:lang w:val="en-US"/>
        </w:rPr>
        <w:t>their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obligations arising from </w:t>
      </w:r>
      <w:r w:rsidR="00EF182A">
        <w:rPr>
          <w:rFonts w:ascii="Arial" w:hAnsi="Arial" w:cs="Arial"/>
          <w:sz w:val="21"/>
          <w:szCs w:val="21"/>
          <w:lang w:val="en-US"/>
        </w:rPr>
        <w:t>PDPL</w:t>
      </w:r>
      <w:r w:rsidR="00EF182A" w:rsidRPr="00EF182A">
        <w:rPr>
          <w:rFonts w:ascii="Arial" w:hAnsi="Arial" w:cs="Arial"/>
          <w:sz w:val="21"/>
          <w:szCs w:val="21"/>
          <w:lang w:val="en-US"/>
        </w:rPr>
        <w:t>, including the obligation to inform</w:t>
      </w:r>
      <w:r w:rsidR="00CB0211">
        <w:rPr>
          <w:rFonts w:ascii="Arial" w:hAnsi="Arial" w:cs="Arial"/>
          <w:sz w:val="21"/>
          <w:szCs w:val="21"/>
          <w:lang w:val="en-US"/>
        </w:rPr>
        <w:t>; so,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</w:t>
      </w:r>
      <w:r w:rsidR="00CB0211">
        <w:rPr>
          <w:rFonts w:ascii="Arial" w:hAnsi="Arial" w:cs="Arial"/>
          <w:sz w:val="21"/>
          <w:szCs w:val="21"/>
          <w:lang w:val="en-US"/>
        </w:rPr>
        <w:t>they are obliged to take the</w:t>
      </w:r>
      <w:r w:rsidR="00EF182A" w:rsidRPr="00EF182A">
        <w:rPr>
          <w:rFonts w:ascii="Arial" w:hAnsi="Arial" w:cs="Arial"/>
          <w:sz w:val="21"/>
          <w:szCs w:val="21"/>
          <w:lang w:val="en-US"/>
        </w:rPr>
        <w:t xml:space="preserve"> necessary actions </w:t>
      </w:r>
      <w:r w:rsidR="00CB0211">
        <w:rPr>
          <w:rFonts w:ascii="Arial" w:hAnsi="Arial" w:cs="Arial"/>
          <w:sz w:val="21"/>
          <w:szCs w:val="21"/>
          <w:lang w:val="en-US"/>
        </w:rPr>
        <w:t>under the</w:t>
      </w:r>
      <w:r w:rsidR="00EF182A">
        <w:rPr>
          <w:rFonts w:ascii="Arial" w:hAnsi="Arial" w:cs="Arial"/>
          <w:sz w:val="21"/>
          <w:szCs w:val="21"/>
          <w:lang w:val="en-US"/>
        </w:rPr>
        <w:t xml:space="preserve"> PDPL</w:t>
      </w:r>
      <w:r w:rsidR="00CB0211">
        <w:rPr>
          <w:rFonts w:ascii="Arial" w:hAnsi="Arial" w:cs="Arial"/>
          <w:sz w:val="21"/>
          <w:szCs w:val="21"/>
          <w:lang w:val="en-US"/>
        </w:rPr>
        <w:t xml:space="preserve"> as well</w:t>
      </w:r>
      <w:r w:rsidR="00EF182A" w:rsidRPr="00EF182A">
        <w:rPr>
          <w:rFonts w:ascii="Arial" w:hAnsi="Arial" w:cs="Arial"/>
          <w:sz w:val="21"/>
          <w:szCs w:val="21"/>
          <w:lang w:val="en-US"/>
        </w:rPr>
        <w:t>.</w:t>
      </w:r>
      <w:r w:rsidR="00EF182A">
        <w:rPr>
          <w:rFonts w:ascii="Arial" w:hAnsi="Arial" w:cs="Arial"/>
          <w:sz w:val="21"/>
          <w:szCs w:val="21"/>
          <w:lang w:val="en-US"/>
        </w:rPr>
        <w:t xml:space="preserve"> 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In addition, although the Board generally draws attention to the necessity of </w:t>
      </w:r>
      <w:r w:rsidR="001B2C1D">
        <w:rPr>
          <w:rFonts w:ascii="Arial" w:hAnsi="Arial" w:cs="Arial"/>
          <w:sz w:val="21"/>
          <w:szCs w:val="21"/>
          <w:lang w:val="en-US"/>
        </w:rPr>
        <w:t>explicit</w:t>
      </w:r>
      <w:r w:rsidR="001B2C1D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CB0211">
        <w:rPr>
          <w:rFonts w:ascii="Arial" w:hAnsi="Arial" w:cs="Arial"/>
          <w:sz w:val="21"/>
          <w:szCs w:val="21"/>
          <w:lang w:val="en-US"/>
        </w:rPr>
        <w:t xml:space="preserve">declaration of intent 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in the implementation of the PDPL, it has stated that it is not necessary to seek a clear </w:t>
      </w:r>
      <w:r w:rsidR="00CB0211">
        <w:rPr>
          <w:rFonts w:ascii="Arial" w:hAnsi="Arial" w:cs="Arial"/>
          <w:sz w:val="21"/>
          <w:szCs w:val="21"/>
          <w:lang w:val="en-US"/>
        </w:rPr>
        <w:t xml:space="preserve">declaration of intent 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for the data subjects to withdraw their </w:t>
      </w:r>
      <w:r w:rsidR="004A169F">
        <w:rPr>
          <w:rFonts w:ascii="Arial" w:hAnsi="Arial" w:cs="Arial"/>
          <w:sz w:val="21"/>
          <w:szCs w:val="21"/>
          <w:lang w:val="en-US"/>
        </w:rPr>
        <w:t>express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 consent. </w:t>
      </w:r>
      <w:r w:rsidR="001B0733">
        <w:rPr>
          <w:rFonts w:ascii="Arial" w:hAnsi="Arial" w:cs="Arial"/>
          <w:sz w:val="21"/>
          <w:szCs w:val="21"/>
          <w:lang w:val="en-US"/>
        </w:rPr>
        <w:t>Accordingly</w:t>
      </w:r>
      <w:r w:rsidR="00DF3F58" w:rsidRPr="00743F80">
        <w:rPr>
          <w:rFonts w:ascii="Arial" w:hAnsi="Arial" w:cs="Arial"/>
          <w:sz w:val="21"/>
          <w:szCs w:val="21"/>
          <w:lang w:val="en-US"/>
        </w:rPr>
        <w:t>, a request</w:t>
      </w:r>
      <w:r w:rsidR="009F0827">
        <w:rPr>
          <w:rFonts w:ascii="Arial" w:hAnsi="Arial" w:cs="Arial"/>
          <w:sz w:val="21"/>
          <w:szCs w:val="21"/>
          <w:lang w:val="en-US"/>
        </w:rPr>
        <w:t xml:space="preserve"> for</w:t>
      </w:r>
      <w:r w:rsidR="009F0827" w:rsidRPr="009F0827">
        <w:rPr>
          <w:rFonts w:ascii="Arial" w:hAnsi="Arial" w:cs="Arial"/>
          <w:sz w:val="21"/>
          <w:szCs w:val="21"/>
          <w:lang w:val="en-US"/>
        </w:rPr>
        <w:t xml:space="preserve"> information regarding the data of a data subject that he</w:t>
      </w:r>
      <w:r w:rsidR="009F0827">
        <w:rPr>
          <w:rFonts w:ascii="Arial" w:hAnsi="Arial" w:cs="Arial"/>
          <w:sz w:val="21"/>
          <w:szCs w:val="21"/>
          <w:lang w:val="en-US"/>
        </w:rPr>
        <w:t>/</w:t>
      </w:r>
      <w:r w:rsidR="009F0827" w:rsidRPr="009F0827">
        <w:rPr>
          <w:rFonts w:ascii="Arial" w:hAnsi="Arial" w:cs="Arial"/>
          <w:sz w:val="21"/>
          <w:szCs w:val="21"/>
          <w:lang w:val="en-US"/>
        </w:rPr>
        <w:t>she believes has been processed unlawfully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 will be interpreted as </w:t>
      </w:r>
      <w:r w:rsidR="00CB0211">
        <w:rPr>
          <w:rFonts w:ascii="Arial" w:hAnsi="Arial" w:cs="Arial"/>
          <w:sz w:val="21"/>
          <w:szCs w:val="21"/>
          <w:lang w:val="en-US"/>
        </w:rPr>
        <w:t xml:space="preserve">withdrawal of </w:t>
      </w:r>
      <w:r w:rsidR="00DF3F58" w:rsidRPr="00743F80">
        <w:rPr>
          <w:rFonts w:ascii="Arial" w:hAnsi="Arial" w:cs="Arial"/>
          <w:sz w:val="21"/>
          <w:szCs w:val="21"/>
          <w:lang w:val="en-US"/>
        </w:rPr>
        <w:t>all</w:t>
      </w:r>
      <w:r w:rsidR="00CB0211">
        <w:rPr>
          <w:rFonts w:ascii="Arial" w:hAnsi="Arial" w:cs="Arial"/>
          <w:sz w:val="21"/>
          <w:szCs w:val="21"/>
          <w:lang w:val="en-US"/>
        </w:rPr>
        <w:t xml:space="preserve"> previous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1B2C1D">
        <w:rPr>
          <w:rFonts w:ascii="Arial" w:hAnsi="Arial" w:cs="Arial"/>
          <w:sz w:val="21"/>
          <w:szCs w:val="21"/>
          <w:lang w:val="en-US"/>
        </w:rPr>
        <w:t>explicit</w:t>
      </w:r>
      <w:r w:rsidR="001B2C1D" w:rsidRPr="00743F80">
        <w:rPr>
          <w:rFonts w:ascii="Arial" w:hAnsi="Arial" w:cs="Arial"/>
          <w:sz w:val="21"/>
          <w:szCs w:val="21"/>
          <w:lang w:val="en-US"/>
        </w:rPr>
        <w:t xml:space="preserve"> </w:t>
      </w:r>
      <w:r w:rsidR="00DF3F58" w:rsidRPr="00743F80">
        <w:rPr>
          <w:rFonts w:ascii="Arial" w:hAnsi="Arial" w:cs="Arial"/>
          <w:sz w:val="21"/>
          <w:szCs w:val="21"/>
          <w:lang w:val="en-US"/>
        </w:rPr>
        <w:t>consent</w:t>
      </w:r>
      <w:r w:rsidR="00CB0211">
        <w:rPr>
          <w:rFonts w:ascii="Arial" w:hAnsi="Arial" w:cs="Arial"/>
          <w:sz w:val="21"/>
          <w:szCs w:val="21"/>
          <w:lang w:val="en-US"/>
        </w:rPr>
        <w:t>s</w:t>
      </w:r>
      <w:r w:rsidR="00DF3F58" w:rsidRPr="00743F80">
        <w:rPr>
          <w:rFonts w:ascii="Arial" w:hAnsi="Arial" w:cs="Arial"/>
          <w:sz w:val="21"/>
          <w:szCs w:val="21"/>
          <w:lang w:val="en-US"/>
        </w:rPr>
        <w:t xml:space="preserve"> given to the data controller by th</w:t>
      </w:r>
      <w:r w:rsidR="00CB0211">
        <w:rPr>
          <w:rFonts w:ascii="Arial" w:hAnsi="Arial" w:cs="Arial"/>
          <w:sz w:val="21"/>
          <w:szCs w:val="21"/>
          <w:lang w:val="en-US"/>
        </w:rPr>
        <w:t xml:space="preserve">e relevant data subject. </w:t>
      </w:r>
    </w:p>
    <w:p w14:paraId="61AA68BD" w14:textId="77777777" w:rsidR="007C733C" w:rsidRPr="00743F80" w:rsidRDefault="007C733C" w:rsidP="00CB0211">
      <w:pPr>
        <w:spacing w:before="100" w:beforeAutospacing="1" w:after="100" w:afterAutospacing="1"/>
        <w:jc w:val="center"/>
        <w:rPr>
          <w:rFonts w:ascii="Arial" w:hAnsi="Arial" w:cs="Arial"/>
          <w:bCs/>
          <w:sz w:val="21"/>
          <w:szCs w:val="21"/>
          <w:lang w:val="en-US"/>
        </w:rPr>
      </w:pPr>
      <w:r w:rsidRPr="00743F80">
        <w:rPr>
          <w:rFonts w:ascii="Arial" w:hAnsi="Arial" w:cs="Arial"/>
          <w:bCs/>
          <w:sz w:val="21"/>
          <w:szCs w:val="21"/>
          <w:lang w:val="en-US"/>
        </w:rPr>
        <w:lastRenderedPageBreak/>
        <w:t>*</w:t>
      </w:r>
      <w:r w:rsidRPr="00743F80">
        <w:rPr>
          <w:rFonts w:ascii="Arial" w:hAnsi="Arial" w:cs="Arial"/>
          <w:bCs/>
          <w:sz w:val="21"/>
          <w:szCs w:val="21"/>
          <w:lang w:val="en-US"/>
        </w:rPr>
        <w:tab/>
      </w:r>
      <w:r w:rsidRPr="00743F80">
        <w:rPr>
          <w:rFonts w:ascii="Arial" w:hAnsi="Arial" w:cs="Arial"/>
          <w:bCs/>
          <w:sz w:val="21"/>
          <w:szCs w:val="21"/>
          <w:lang w:val="en-US"/>
        </w:rPr>
        <w:tab/>
        <w:t>*</w:t>
      </w:r>
      <w:r w:rsidRPr="00743F80">
        <w:rPr>
          <w:rFonts w:ascii="Arial" w:hAnsi="Arial" w:cs="Arial"/>
          <w:bCs/>
          <w:sz w:val="21"/>
          <w:szCs w:val="21"/>
          <w:lang w:val="en-US"/>
        </w:rPr>
        <w:tab/>
      </w:r>
      <w:r w:rsidRPr="00743F80">
        <w:rPr>
          <w:rFonts w:ascii="Arial" w:hAnsi="Arial" w:cs="Arial"/>
          <w:bCs/>
          <w:sz w:val="21"/>
          <w:szCs w:val="21"/>
          <w:lang w:val="en-US"/>
        </w:rPr>
        <w:tab/>
        <w:t>*</w:t>
      </w:r>
    </w:p>
    <w:p w14:paraId="5B1588B4" w14:textId="77777777" w:rsidR="00BA3D3C" w:rsidRPr="00743F80" w:rsidRDefault="00BA3D3C" w:rsidP="00CB0211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i/>
          <w:iCs/>
          <w:sz w:val="19"/>
          <w:szCs w:val="19"/>
          <w:lang w:val="en-US"/>
        </w:rPr>
      </w:pPr>
      <w:r w:rsidRPr="00743F80">
        <w:rPr>
          <w:rFonts w:ascii="Arial" w:eastAsia="Calibri" w:hAnsi="Arial" w:cs="Arial"/>
          <w:i/>
          <w:iCs/>
          <w:sz w:val="19"/>
          <w:szCs w:val="19"/>
          <w:lang w:val="en-US"/>
        </w:rPr>
        <w:t xml:space="preserve">Should you have any queries on the above, please do not hesitate to contact us. </w:t>
      </w:r>
    </w:p>
    <w:p w14:paraId="642A42F2" w14:textId="77777777" w:rsidR="00BA3D3C" w:rsidRPr="00743F80" w:rsidRDefault="00BA3D3C" w:rsidP="00CB0211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9"/>
          <w:szCs w:val="19"/>
          <w:lang w:val="en-US"/>
        </w:rPr>
      </w:pPr>
      <w:r w:rsidRPr="00743F80">
        <w:rPr>
          <w:rFonts w:ascii="Arial" w:eastAsia="Calibri" w:hAnsi="Arial" w:cs="Arial"/>
          <w:i/>
          <w:iCs/>
          <w:sz w:val="19"/>
          <w:szCs w:val="19"/>
          <w:lang w:val="en-US"/>
        </w:rPr>
        <w:t xml:space="preserve">Güner Law Office was established in 1996 and has since grown into one of the major corporate, M&amp;A, banking and finance, energy, </w:t>
      </w:r>
      <w:proofErr w:type="gramStart"/>
      <w:r w:rsidRPr="00743F80">
        <w:rPr>
          <w:rFonts w:ascii="Arial" w:eastAsia="Calibri" w:hAnsi="Arial" w:cs="Arial"/>
          <w:i/>
          <w:iCs/>
          <w:sz w:val="19"/>
          <w:szCs w:val="19"/>
          <w:lang w:val="en-US"/>
        </w:rPr>
        <w:t>TMT</w:t>
      </w:r>
      <w:proofErr w:type="gramEnd"/>
      <w:r w:rsidRPr="00743F80">
        <w:rPr>
          <w:rFonts w:ascii="Arial" w:eastAsia="Calibri" w:hAnsi="Arial" w:cs="Arial"/>
          <w:i/>
          <w:iCs/>
          <w:sz w:val="19"/>
          <w:szCs w:val="19"/>
          <w:lang w:val="en-US"/>
        </w:rPr>
        <w:t xml:space="preserve"> and dispute resolution practices in Turkey. </w:t>
      </w:r>
    </w:p>
    <w:p w14:paraId="44572AC9" w14:textId="77777777" w:rsidR="00BA3D3C" w:rsidRPr="00743F80" w:rsidRDefault="00BA3D3C" w:rsidP="00CB0211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19"/>
          <w:szCs w:val="19"/>
          <w:lang w:val="en-US"/>
        </w:rPr>
      </w:pPr>
      <w:r w:rsidRPr="00743F80">
        <w:rPr>
          <w:rFonts w:ascii="Arial" w:eastAsia="Calibri" w:hAnsi="Arial" w:cs="Arial"/>
          <w:b/>
          <w:iCs/>
          <w:color w:val="FF3300"/>
          <w:sz w:val="19"/>
          <w:szCs w:val="19"/>
          <w:lang w:val="en-US"/>
        </w:rPr>
        <w:t>Contact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022"/>
        <w:gridCol w:w="3020"/>
      </w:tblGrid>
      <w:tr w:rsidR="00BA3D3C" w:rsidRPr="00743F80" w14:paraId="40748A1E" w14:textId="77777777" w:rsidTr="00EA722A">
        <w:tc>
          <w:tcPr>
            <w:tcW w:w="3172" w:type="dxa"/>
          </w:tcPr>
          <w:p w14:paraId="5F1137EF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Ece Güner </w:t>
            </w:r>
            <w:proofErr w:type="spellStart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>Toprak</w:t>
            </w:r>
            <w:proofErr w:type="spellEnd"/>
          </w:p>
          <w:p w14:paraId="329BC0A3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i/>
                <w:sz w:val="19"/>
                <w:szCs w:val="19"/>
              </w:rPr>
            </w:pPr>
            <w:r w:rsidRPr="00743F80">
              <w:rPr>
                <w:rFonts w:ascii="Arial" w:hAnsi="Arial" w:cs="Arial"/>
                <w:i/>
                <w:sz w:val="19"/>
                <w:szCs w:val="19"/>
              </w:rPr>
              <w:t>Managing Partner</w:t>
            </w:r>
          </w:p>
          <w:p w14:paraId="1C3A0DE0" w14:textId="77777777" w:rsidR="00BA3D3C" w:rsidRPr="00743F80" w:rsidRDefault="00CB0211" w:rsidP="00CB0211">
            <w:pPr>
              <w:spacing w:before="100" w:beforeAutospacing="1" w:after="100" w:afterAutospacing="1"/>
              <w:rPr>
                <w:rFonts w:ascii="Arial" w:hAnsi="Arial" w:cs="Arial"/>
                <w:iCs/>
                <w:sz w:val="19"/>
                <w:szCs w:val="19"/>
                <w:u w:val="single"/>
              </w:rPr>
            </w:pPr>
            <w:hyperlink r:id="rId8" w:history="1">
              <w:r w:rsidR="00BA3D3C" w:rsidRPr="00743F80">
                <w:rPr>
                  <w:rStyle w:val="Hyperlink"/>
                  <w:rFonts w:ascii="Arial" w:hAnsi="Arial" w:cs="Arial"/>
                  <w:sz w:val="19"/>
                  <w:szCs w:val="19"/>
                </w:rPr>
                <w:t>e</w:t>
              </w:r>
              <w:r w:rsidR="00BA3D3C" w:rsidRPr="00743F80">
                <w:rPr>
                  <w:rStyle w:val="Hyperlink"/>
                  <w:rFonts w:ascii="Arial" w:hAnsi="Arial" w:cs="Arial"/>
                  <w:iCs/>
                  <w:sz w:val="19"/>
                  <w:szCs w:val="19"/>
                </w:rPr>
                <w:t>g@guner.av.tr</w:t>
              </w:r>
            </w:hyperlink>
          </w:p>
          <w:p w14:paraId="7A3309FC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31310EB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3022" w:type="dxa"/>
            <w:hideMark/>
          </w:tcPr>
          <w:p w14:paraId="5D7CD153" w14:textId="77777777" w:rsidR="00BA3D3C" w:rsidRPr="00743F80" w:rsidRDefault="00BA3D3C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>Burçak</w:t>
            </w:r>
            <w:proofErr w:type="spellEnd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Kurt </w:t>
            </w:r>
            <w:proofErr w:type="spellStart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>Biçer</w:t>
            </w:r>
            <w:proofErr w:type="spellEnd"/>
          </w:p>
          <w:p w14:paraId="187741B5" w14:textId="77777777" w:rsidR="00BA3D3C" w:rsidRPr="00743F80" w:rsidRDefault="00BA3D3C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43F80">
              <w:rPr>
                <w:rFonts w:ascii="Arial" w:hAnsi="Arial" w:cs="Arial"/>
                <w:i/>
                <w:sz w:val="19"/>
                <w:szCs w:val="19"/>
              </w:rPr>
              <w:t>Partner</w:t>
            </w:r>
          </w:p>
          <w:p w14:paraId="32208D74" w14:textId="77777777" w:rsidR="00BA3D3C" w:rsidRPr="00743F80" w:rsidRDefault="00CB0211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iCs/>
                <w:sz w:val="19"/>
                <w:szCs w:val="19"/>
                <w:u w:val="single"/>
              </w:rPr>
            </w:pPr>
            <w:hyperlink r:id="rId9" w:history="1">
              <w:r w:rsidR="00BA3D3C" w:rsidRPr="00743F80">
                <w:rPr>
                  <w:rStyle w:val="Hyperlink"/>
                  <w:rFonts w:ascii="Arial" w:hAnsi="Arial" w:cs="Arial"/>
                  <w:iCs/>
                  <w:sz w:val="19"/>
                  <w:szCs w:val="19"/>
                </w:rPr>
                <w:t>bkb@guner.av.tr</w:t>
              </w:r>
            </w:hyperlink>
          </w:p>
          <w:p w14:paraId="25DF66AC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20" w:type="dxa"/>
            <w:hideMark/>
          </w:tcPr>
          <w:p w14:paraId="06728B8F" w14:textId="77777777" w:rsidR="00BA3D3C" w:rsidRPr="00743F80" w:rsidRDefault="00BA3D3C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>Uğurkan</w:t>
            </w:r>
            <w:proofErr w:type="spellEnd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43F80">
              <w:rPr>
                <w:rFonts w:ascii="Arial" w:hAnsi="Arial" w:cs="Arial"/>
                <w:b/>
                <w:bCs/>
                <w:sz w:val="19"/>
                <w:szCs w:val="19"/>
              </w:rPr>
              <w:t>Şeber</w:t>
            </w:r>
            <w:proofErr w:type="spellEnd"/>
          </w:p>
          <w:p w14:paraId="7360B3D4" w14:textId="77777777" w:rsidR="00BA3D3C" w:rsidRPr="00743F80" w:rsidRDefault="00BA3D3C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43F80">
              <w:rPr>
                <w:rFonts w:ascii="Arial" w:hAnsi="Arial" w:cs="Arial"/>
                <w:i/>
                <w:sz w:val="19"/>
                <w:szCs w:val="19"/>
              </w:rPr>
              <w:t>Associate</w:t>
            </w:r>
          </w:p>
          <w:p w14:paraId="5FDFC5C6" w14:textId="77777777" w:rsidR="00BA3D3C" w:rsidRPr="00743F80" w:rsidRDefault="00CB0211" w:rsidP="00CB021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iCs/>
                <w:sz w:val="19"/>
                <w:szCs w:val="19"/>
                <w:u w:val="single"/>
              </w:rPr>
            </w:pPr>
            <w:hyperlink r:id="rId10" w:history="1">
              <w:r w:rsidR="00BA3D3C" w:rsidRPr="00743F80">
                <w:rPr>
                  <w:rStyle w:val="Hyperlink"/>
                  <w:rFonts w:ascii="Arial" w:hAnsi="Arial" w:cs="Arial"/>
                  <w:iCs/>
                  <w:sz w:val="19"/>
                  <w:szCs w:val="19"/>
                </w:rPr>
                <w:t>us@guner.av.tr</w:t>
              </w:r>
            </w:hyperlink>
          </w:p>
          <w:p w14:paraId="26B31D37" w14:textId="77777777" w:rsidR="00BA3D3C" w:rsidRPr="00743F80" w:rsidRDefault="00BA3D3C" w:rsidP="00CB0211">
            <w:pPr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51E37125" w14:textId="77777777" w:rsidR="00BA3D3C" w:rsidRPr="00743F80" w:rsidRDefault="00BA3D3C" w:rsidP="00CB0211">
      <w:pPr>
        <w:spacing w:before="100" w:beforeAutospacing="1" w:after="100" w:afterAutospacing="1" w:line="240" w:lineRule="auto"/>
        <w:ind w:right="5245"/>
        <w:jc w:val="both"/>
        <w:rPr>
          <w:rFonts w:ascii="Arial" w:eastAsia="Calibri" w:hAnsi="Arial" w:cs="Arial"/>
          <w:iCs/>
          <w:sz w:val="19"/>
          <w:szCs w:val="19"/>
          <w:lang w:val="en-US"/>
        </w:rPr>
      </w:pP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Güner Hukuk Bürosu</w:t>
      </w:r>
    </w:p>
    <w:p w14:paraId="1D7886E3" w14:textId="77777777" w:rsidR="00BA3D3C" w:rsidRPr="00743F80" w:rsidRDefault="00BA3D3C" w:rsidP="00CB0211">
      <w:pPr>
        <w:spacing w:before="100" w:beforeAutospacing="1" w:after="100" w:afterAutospacing="1" w:line="240" w:lineRule="auto"/>
        <w:ind w:right="5245"/>
        <w:jc w:val="both"/>
        <w:rPr>
          <w:rFonts w:ascii="Arial" w:eastAsia="Calibri" w:hAnsi="Arial" w:cs="Arial"/>
          <w:sz w:val="19"/>
          <w:szCs w:val="19"/>
          <w:lang w:val="en-US"/>
        </w:rPr>
      </w:pPr>
      <w:proofErr w:type="spellStart"/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L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e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v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e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n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t</w:t>
      </w:r>
      <w:proofErr w:type="spellEnd"/>
      <w:r w:rsidRPr="00743F80">
        <w:rPr>
          <w:rFonts w:ascii="Arial" w:eastAsia="Calibri" w:hAnsi="Arial" w:cs="Arial"/>
          <w:iCs/>
          <w:spacing w:val="-4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Ca</w:t>
      </w:r>
      <w:r w:rsidRPr="00743F80">
        <w:rPr>
          <w:rFonts w:ascii="Arial" w:eastAsia="Calibri" w:hAnsi="Arial" w:cs="Arial"/>
          <w:iCs/>
          <w:spacing w:val="2"/>
          <w:sz w:val="19"/>
          <w:szCs w:val="19"/>
          <w:lang w:val="en-US"/>
        </w:rPr>
        <w:t>d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d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e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s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i,</w:t>
      </w:r>
      <w:r w:rsidRPr="00743F80">
        <w:rPr>
          <w:rFonts w:ascii="Arial" w:eastAsia="Calibri" w:hAnsi="Arial" w:cs="Arial"/>
          <w:iCs/>
          <w:spacing w:val="-6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A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l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t</w:t>
      </w:r>
      <w:r w:rsidRPr="00743F80">
        <w:rPr>
          <w:rFonts w:ascii="Arial" w:eastAsia="Calibri" w:hAnsi="Arial" w:cs="Arial"/>
          <w:iCs/>
          <w:spacing w:val="-2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Ze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r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en</w:t>
      </w:r>
      <w:r w:rsidRPr="00743F80">
        <w:rPr>
          <w:rFonts w:ascii="Arial" w:eastAsia="Calibri" w:hAnsi="Arial" w:cs="Arial"/>
          <w:iCs/>
          <w:spacing w:val="-4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S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o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k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ak</w:t>
      </w:r>
      <w:r w:rsidRPr="00743F80">
        <w:rPr>
          <w:rFonts w:ascii="Arial" w:eastAsia="Calibri" w:hAnsi="Arial" w:cs="Arial"/>
          <w:iCs/>
          <w:spacing w:val="-5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No.7</w:t>
      </w:r>
    </w:p>
    <w:p w14:paraId="33DB8244" w14:textId="77777777" w:rsidR="00BA3D3C" w:rsidRPr="00743F80" w:rsidRDefault="00BA3D3C" w:rsidP="00CB0211">
      <w:pPr>
        <w:spacing w:before="100" w:beforeAutospacing="1" w:after="100" w:afterAutospacing="1" w:line="240" w:lineRule="auto"/>
        <w:ind w:right="5245"/>
        <w:jc w:val="both"/>
        <w:rPr>
          <w:rFonts w:ascii="Arial" w:eastAsia="Calibri" w:hAnsi="Arial" w:cs="Arial"/>
          <w:sz w:val="19"/>
          <w:szCs w:val="19"/>
          <w:lang w:val="en-US"/>
        </w:rPr>
      </w:pPr>
      <w:proofErr w:type="spellStart"/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L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e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v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e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n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t</w:t>
      </w:r>
      <w:proofErr w:type="spellEnd"/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 xml:space="preserve"> 3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4</w:t>
      </w:r>
      <w:r w:rsidRPr="00743F80">
        <w:rPr>
          <w:rFonts w:ascii="Arial" w:eastAsia="Calibri" w:hAnsi="Arial" w:cs="Arial"/>
          <w:iCs/>
          <w:spacing w:val="2"/>
          <w:sz w:val="19"/>
          <w:szCs w:val="19"/>
          <w:lang w:val="en-US"/>
        </w:rPr>
        <w:t>3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30,</w:t>
      </w:r>
      <w:r w:rsidRPr="00743F80">
        <w:rPr>
          <w:rFonts w:ascii="Arial" w:eastAsia="Calibri" w:hAnsi="Arial" w:cs="Arial"/>
          <w:iCs/>
          <w:spacing w:val="-7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İ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s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ta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n</w:t>
      </w:r>
      <w:r w:rsidRPr="00743F80">
        <w:rPr>
          <w:rFonts w:ascii="Arial" w:eastAsia="Calibri" w:hAnsi="Arial" w:cs="Arial"/>
          <w:iCs/>
          <w:spacing w:val="2"/>
          <w:sz w:val="19"/>
          <w:szCs w:val="19"/>
          <w:lang w:val="en-US"/>
        </w:rPr>
        <w:t>b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ul</w:t>
      </w:r>
    </w:p>
    <w:p w14:paraId="07212F57" w14:textId="77777777" w:rsidR="00BA3D3C" w:rsidRPr="00743F80" w:rsidRDefault="00BA3D3C" w:rsidP="00CB0211">
      <w:pPr>
        <w:spacing w:before="100" w:beforeAutospacing="1" w:after="100" w:afterAutospacing="1" w:line="240" w:lineRule="auto"/>
        <w:ind w:right="5387"/>
        <w:jc w:val="both"/>
        <w:rPr>
          <w:rFonts w:ascii="Arial" w:eastAsia="Calibri" w:hAnsi="Arial" w:cs="Arial"/>
          <w:sz w:val="19"/>
          <w:szCs w:val="19"/>
          <w:lang w:val="en-US"/>
        </w:rPr>
      </w:pPr>
      <w:r w:rsidRPr="00743F80">
        <w:rPr>
          <w:rFonts w:ascii="Arial" w:eastAsia="Calibri" w:hAnsi="Arial" w:cs="Arial"/>
          <w:b/>
          <w:bCs/>
          <w:sz w:val="19"/>
          <w:szCs w:val="19"/>
          <w:lang w:val="en-US"/>
        </w:rPr>
        <w:t>T</w:t>
      </w:r>
      <w:r w:rsidRPr="00743F80">
        <w:rPr>
          <w:rFonts w:ascii="Arial" w:eastAsia="Calibri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+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90</w:t>
      </w:r>
      <w:r w:rsidRPr="00743F80">
        <w:rPr>
          <w:rFonts w:ascii="Arial" w:eastAsia="Calibri" w:hAnsi="Arial" w:cs="Arial"/>
          <w:iCs/>
          <w:spacing w:val="-4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1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-3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2"/>
          <w:sz w:val="19"/>
          <w:szCs w:val="19"/>
          <w:lang w:val="en-US"/>
        </w:rPr>
        <w:t>8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-3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4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3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8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5</w:t>
      </w:r>
    </w:p>
    <w:p w14:paraId="1F21DEC5" w14:textId="77777777" w:rsidR="00BA3D3C" w:rsidRPr="00743F80" w:rsidRDefault="00BA3D3C" w:rsidP="00CB0211">
      <w:pPr>
        <w:spacing w:before="100" w:beforeAutospacing="1" w:after="100" w:afterAutospacing="1" w:line="240" w:lineRule="auto"/>
        <w:ind w:right="4961"/>
        <w:jc w:val="both"/>
        <w:rPr>
          <w:rFonts w:ascii="Arial" w:eastAsia="Calibri" w:hAnsi="Arial" w:cs="Arial"/>
          <w:iCs/>
          <w:sz w:val="19"/>
          <w:szCs w:val="19"/>
          <w:lang w:val="en-US"/>
        </w:rPr>
      </w:pPr>
      <w:r w:rsidRPr="00743F80">
        <w:rPr>
          <w:rFonts w:ascii="Arial" w:eastAsia="Calibri" w:hAnsi="Arial" w:cs="Arial"/>
          <w:b/>
          <w:bCs/>
          <w:sz w:val="19"/>
          <w:szCs w:val="19"/>
          <w:lang w:val="en-US"/>
        </w:rPr>
        <w:t>F</w:t>
      </w:r>
      <w:r w:rsidRPr="00743F80">
        <w:rPr>
          <w:rFonts w:ascii="Arial" w:eastAsia="Calibri" w:hAnsi="Arial" w:cs="Arial"/>
          <w:b/>
          <w:bCs/>
          <w:spacing w:val="-1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+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90</w:t>
      </w:r>
      <w:r w:rsidRPr="00743F80">
        <w:rPr>
          <w:rFonts w:ascii="Arial" w:eastAsia="Calibri" w:hAnsi="Arial" w:cs="Arial"/>
          <w:iCs/>
          <w:spacing w:val="-2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1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-3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2"/>
          <w:sz w:val="19"/>
          <w:szCs w:val="19"/>
          <w:lang w:val="en-US"/>
        </w:rPr>
        <w:t>8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2</w:t>
      </w:r>
      <w:r w:rsidRPr="00743F80">
        <w:rPr>
          <w:rFonts w:ascii="Arial" w:eastAsia="Calibri" w:hAnsi="Arial" w:cs="Arial"/>
          <w:iCs/>
          <w:spacing w:val="-3"/>
          <w:sz w:val="19"/>
          <w:szCs w:val="19"/>
          <w:lang w:val="en-US"/>
        </w:rPr>
        <w:t xml:space="preserve"> </w:t>
      </w:r>
      <w:r w:rsidRPr="00743F80">
        <w:rPr>
          <w:rFonts w:ascii="Arial" w:eastAsia="Calibri" w:hAnsi="Arial" w:cs="Arial"/>
          <w:iCs/>
          <w:spacing w:val="1"/>
          <w:sz w:val="19"/>
          <w:szCs w:val="19"/>
          <w:lang w:val="en-US"/>
        </w:rPr>
        <w:t>4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>3</w:t>
      </w:r>
      <w:r w:rsidRPr="00743F80">
        <w:rPr>
          <w:rFonts w:ascii="Arial" w:eastAsia="Calibri" w:hAnsi="Arial" w:cs="Arial"/>
          <w:iCs/>
          <w:spacing w:val="-1"/>
          <w:sz w:val="19"/>
          <w:szCs w:val="19"/>
          <w:lang w:val="en-US"/>
        </w:rPr>
        <w:t>0</w:t>
      </w:r>
      <w:r w:rsidRPr="00743F80">
        <w:rPr>
          <w:rFonts w:ascii="Arial" w:eastAsia="Calibri" w:hAnsi="Arial" w:cs="Arial"/>
          <w:iCs/>
          <w:sz w:val="19"/>
          <w:szCs w:val="19"/>
          <w:lang w:val="en-US"/>
        </w:rPr>
        <w:t xml:space="preserve">5 </w:t>
      </w:r>
    </w:p>
    <w:p w14:paraId="716BEDF3" w14:textId="77777777" w:rsidR="00BA3D3C" w:rsidRPr="00743F80" w:rsidRDefault="00CB0211" w:rsidP="00CB0211">
      <w:pPr>
        <w:spacing w:before="100" w:beforeAutospacing="1" w:after="100" w:afterAutospacing="1" w:line="240" w:lineRule="auto"/>
        <w:ind w:right="4253"/>
        <w:jc w:val="both"/>
        <w:rPr>
          <w:rFonts w:ascii="Arial" w:eastAsia="Calibri" w:hAnsi="Arial" w:cs="Arial"/>
          <w:iCs/>
          <w:color w:val="FF3300"/>
          <w:sz w:val="19"/>
          <w:szCs w:val="19"/>
          <w:lang w:val="en-US"/>
        </w:rPr>
      </w:pPr>
      <w:hyperlink r:id="rId11" w:history="1">
        <w:r w:rsidR="00BA3D3C" w:rsidRPr="00743F80">
          <w:rPr>
            <w:rFonts w:ascii="Arial" w:eastAsia="Calibri" w:hAnsi="Arial" w:cs="Arial"/>
            <w:iCs/>
            <w:color w:val="0000FF"/>
            <w:sz w:val="19"/>
            <w:szCs w:val="19"/>
            <w:u w:val="single"/>
            <w:lang w:val="en-US"/>
          </w:rPr>
          <w:t>info@guner.av.tr</w:t>
        </w:r>
      </w:hyperlink>
      <w:r w:rsidR="00BA3D3C" w:rsidRPr="00743F80">
        <w:rPr>
          <w:rFonts w:ascii="Arial" w:eastAsia="Calibri" w:hAnsi="Arial" w:cs="Arial"/>
          <w:iCs/>
          <w:color w:val="FF3300"/>
          <w:sz w:val="19"/>
          <w:szCs w:val="19"/>
          <w:lang w:val="en-US"/>
        </w:rPr>
        <w:t xml:space="preserve"> </w:t>
      </w:r>
    </w:p>
    <w:p w14:paraId="549480EE" w14:textId="77777777" w:rsidR="00BA3D3C" w:rsidRPr="00743F80" w:rsidRDefault="00CB0211" w:rsidP="00CB0211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en-US"/>
        </w:rPr>
      </w:pPr>
      <w:hyperlink r:id="rId12" w:history="1">
        <w:r w:rsidR="00BA3D3C" w:rsidRPr="00743F80">
          <w:rPr>
            <w:rFonts w:ascii="Arial" w:eastAsia="Calibri" w:hAnsi="Arial" w:cs="Arial"/>
            <w:b/>
            <w:iCs/>
            <w:color w:val="0000FF"/>
            <w:sz w:val="19"/>
            <w:szCs w:val="19"/>
            <w:u w:val="single"/>
            <w:lang w:val="en-US"/>
          </w:rPr>
          <w:t>www.guner.av.tr</w:t>
        </w:r>
      </w:hyperlink>
    </w:p>
    <w:p w14:paraId="06BB7CAB" w14:textId="77777777" w:rsidR="007C733C" w:rsidRPr="00743F80" w:rsidRDefault="007C733C" w:rsidP="00CB0211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  <w:lang w:val="en-US"/>
        </w:rPr>
      </w:pPr>
    </w:p>
    <w:sectPr w:rsidR="007C733C" w:rsidRPr="00743F80" w:rsidSect="002932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148D" w14:textId="77777777" w:rsidR="0016626C" w:rsidRDefault="0016626C" w:rsidP="0016626C">
      <w:pPr>
        <w:spacing w:after="0" w:line="240" w:lineRule="auto"/>
      </w:pPr>
      <w:r>
        <w:separator/>
      </w:r>
    </w:p>
  </w:endnote>
  <w:endnote w:type="continuationSeparator" w:id="0">
    <w:p w14:paraId="51B407E3" w14:textId="77777777" w:rsidR="0016626C" w:rsidRDefault="0016626C" w:rsidP="0016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9828" w14:textId="77777777" w:rsidR="00016155" w:rsidRDefault="00016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8D60" w14:textId="77777777" w:rsidR="00016155" w:rsidRDefault="00016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7FD0" w14:textId="77777777" w:rsidR="00016155" w:rsidRDefault="0001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6038" w14:textId="77777777" w:rsidR="0016626C" w:rsidRDefault="0016626C" w:rsidP="0016626C">
      <w:pPr>
        <w:spacing w:after="0" w:line="240" w:lineRule="auto"/>
      </w:pPr>
      <w:r>
        <w:separator/>
      </w:r>
    </w:p>
  </w:footnote>
  <w:footnote w:type="continuationSeparator" w:id="0">
    <w:p w14:paraId="2A210DCD" w14:textId="77777777" w:rsidR="0016626C" w:rsidRDefault="0016626C" w:rsidP="0016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343" w14:textId="77777777" w:rsidR="00016155" w:rsidRDefault="00016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77C" w14:textId="41375A49" w:rsidR="0016626C" w:rsidRDefault="00293231" w:rsidP="00293231">
    <w:pPr>
      <w:pStyle w:val="Header"/>
    </w:pPr>
    <w:r w:rsidRPr="00F92D61">
      <w:rPr>
        <w:rFonts w:ascii="Times New Roman" w:eastAsia="Times New Roman" w:hAnsi="Times New Roman"/>
        <w:noProof/>
        <w:sz w:val="24"/>
        <w:szCs w:val="24"/>
        <w:lang w:eastAsia="tr-TR"/>
      </w:rPr>
      <w:drawing>
        <wp:inline distT="0" distB="0" distL="0" distR="0" wp14:anchorId="038F6F7A" wp14:editId="30B43D57">
          <wp:extent cx="2964180" cy="693420"/>
          <wp:effectExtent l="0" t="0" r="7620" b="0"/>
          <wp:docPr id="4" name="Picture 4" descr="Description: 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317" w14:textId="2880DACB" w:rsidR="00293231" w:rsidRDefault="00016155" w:rsidP="00293231">
    <w:pPr>
      <w:pStyle w:val="Header"/>
      <w:jc w:val="right"/>
    </w:pPr>
    <w:r>
      <w:rPr>
        <w:noProof/>
      </w:rPr>
      <w:drawing>
        <wp:inline distT="0" distB="0" distL="0" distR="0" wp14:anchorId="72566599" wp14:editId="7784A633">
          <wp:extent cx="2956560" cy="1129665"/>
          <wp:effectExtent l="0" t="0" r="0" b="0"/>
          <wp:docPr id="1" name="Picture 5" descr="Description: 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Description: 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7D8"/>
    <w:multiLevelType w:val="hybridMultilevel"/>
    <w:tmpl w:val="54DCF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4F9"/>
    <w:multiLevelType w:val="hybridMultilevel"/>
    <w:tmpl w:val="2A22A26E"/>
    <w:lvl w:ilvl="0" w:tplc="DC6E14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5E3"/>
    <w:multiLevelType w:val="hybridMultilevel"/>
    <w:tmpl w:val="9800C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823"/>
    <w:multiLevelType w:val="hybridMultilevel"/>
    <w:tmpl w:val="8B8E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4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019569">
    <w:abstractNumId w:val="2"/>
  </w:num>
  <w:num w:numId="3" w16cid:durableId="61410704">
    <w:abstractNumId w:val="3"/>
  </w:num>
  <w:num w:numId="4" w16cid:durableId="41887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B"/>
    <w:rsid w:val="000026ED"/>
    <w:rsid w:val="00016155"/>
    <w:rsid w:val="000208FF"/>
    <w:rsid w:val="00034FA4"/>
    <w:rsid w:val="000768AB"/>
    <w:rsid w:val="00085184"/>
    <w:rsid w:val="000C00C9"/>
    <w:rsid w:val="00155609"/>
    <w:rsid w:val="0016626C"/>
    <w:rsid w:val="00171FFD"/>
    <w:rsid w:val="0019218D"/>
    <w:rsid w:val="001B0733"/>
    <w:rsid w:val="001B2C1D"/>
    <w:rsid w:val="001D01E2"/>
    <w:rsid w:val="001E5E0F"/>
    <w:rsid w:val="001F7FB2"/>
    <w:rsid w:val="002312FE"/>
    <w:rsid w:val="00293231"/>
    <w:rsid w:val="002D192E"/>
    <w:rsid w:val="002E26F6"/>
    <w:rsid w:val="00374159"/>
    <w:rsid w:val="003911C6"/>
    <w:rsid w:val="003A43C2"/>
    <w:rsid w:val="003E7283"/>
    <w:rsid w:val="003F0BC5"/>
    <w:rsid w:val="0041503E"/>
    <w:rsid w:val="004213C1"/>
    <w:rsid w:val="00456665"/>
    <w:rsid w:val="00476AF8"/>
    <w:rsid w:val="004A169F"/>
    <w:rsid w:val="004A3EEA"/>
    <w:rsid w:val="004F34EA"/>
    <w:rsid w:val="0057222F"/>
    <w:rsid w:val="005C73EC"/>
    <w:rsid w:val="0061442B"/>
    <w:rsid w:val="00614656"/>
    <w:rsid w:val="00617995"/>
    <w:rsid w:val="006A00F8"/>
    <w:rsid w:val="006A0CBC"/>
    <w:rsid w:val="006A7994"/>
    <w:rsid w:val="00743F80"/>
    <w:rsid w:val="00784E76"/>
    <w:rsid w:val="007C733C"/>
    <w:rsid w:val="00884EEA"/>
    <w:rsid w:val="008C6884"/>
    <w:rsid w:val="00905DD5"/>
    <w:rsid w:val="00937C7B"/>
    <w:rsid w:val="00956136"/>
    <w:rsid w:val="00981C9E"/>
    <w:rsid w:val="0098359A"/>
    <w:rsid w:val="00992FAD"/>
    <w:rsid w:val="00997AD4"/>
    <w:rsid w:val="009C2861"/>
    <w:rsid w:val="009F0827"/>
    <w:rsid w:val="009F41B2"/>
    <w:rsid w:val="00A26CE6"/>
    <w:rsid w:val="00A27C50"/>
    <w:rsid w:val="00AC2827"/>
    <w:rsid w:val="00AD3E69"/>
    <w:rsid w:val="00AF3D72"/>
    <w:rsid w:val="00B011F1"/>
    <w:rsid w:val="00B15AE5"/>
    <w:rsid w:val="00BA3D3C"/>
    <w:rsid w:val="00BB78CE"/>
    <w:rsid w:val="00C56978"/>
    <w:rsid w:val="00C631C3"/>
    <w:rsid w:val="00C75897"/>
    <w:rsid w:val="00C855BD"/>
    <w:rsid w:val="00CB0211"/>
    <w:rsid w:val="00D3000A"/>
    <w:rsid w:val="00D70613"/>
    <w:rsid w:val="00DD6D5F"/>
    <w:rsid w:val="00DF3F58"/>
    <w:rsid w:val="00E04870"/>
    <w:rsid w:val="00E43F8D"/>
    <w:rsid w:val="00EF182A"/>
    <w:rsid w:val="00EF7117"/>
    <w:rsid w:val="00F0244A"/>
    <w:rsid w:val="00F468DF"/>
    <w:rsid w:val="00F62095"/>
    <w:rsid w:val="00F622A5"/>
    <w:rsid w:val="00F76B34"/>
    <w:rsid w:val="00FB56C9"/>
    <w:rsid w:val="00FF1334"/>
    <w:rsid w:val="00FF1497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2193"/>
  <w15:chartTrackingRefBased/>
  <w15:docId w15:val="{8D4545E3-4AED-468B-94D0-E7D30A5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6C"/>
  </w:style>
  <w:style w:type="paragraph" w:styleId="Footer">
    <w:name w:val="footer"/>
    <w:basedOn w:val="Normal"/>
    <w:link w:val="FooterChar"/>
    <w:uiPriority w:val="99"/>
    <w:unhideWhenUsed/>
    <w:rsid w:val="0016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6C"/>
  </w:style>
  <w:style w:type="table" w:styleId="PlainTable4">
    <w:name w:val="Plain Table 4"/>
    <w:basedOn w:val="TableNormal"/>
    <w:uiPriority w:val="44"/>
    <w:rsid w:val="007C73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3D3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8A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@guner.av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vkk.gov.tr/Icerik/7272/2021-1218" TargetMode="External"/><Relationship Id="rId12" Type="http://schemas.openxmlformats.org/officeDocument/2006/relationships/hyperlink" Target="http://www.guner.av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uner.a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s@guner.av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kb@guner.av.t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 Akkoyun</dc:creator>
  <cp:keywords/>
  <dc:description/>
  <cp:lastModifiedBy>Güner Law Office </cp:lastModifiedBy>
  <cp:revision>17</cp:revision>
  <dcterms:created xsi:type="dcterms:W3CDTF">2022-06-13T13:17:00Z</dcterms:created>
  <dcterms:modified xsi:type="dcterms:W3CDTF">2022-06-15T13:06:00Z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20220615154235978</vt:lpwstr>
  </property>
</Properties>
</file>